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D67B" w14:textId="77777777" w:rsidR="001E0A6A" w:rsidRPr="001E0A6A" w:rsidRDefault="001E0A6A" w:rsidP="001E0A6A">
      <w:pPr>
        <w:spacing w:line="36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en-GB" w:eastAsia="en-GB"/>
        </w:rPr>
      </w:pPr>
      <w:r w:rsidRPr="001E0A6A">
        <w:rPr>
          <w:rFonts w:ascii="Times New Roman" w:hAnsi="Times New Roman"/>
          <w:b/>
          <w:bCs/>
          <w:color w:val="333333"/>
          <w:sz w:val="28"/>
          <w:szCs w:val="28"/>
          <w:lang w:val="en-GB" w:eastAsia="en-GB"/>
        </w:rPr>
        <w:t>54</w:t>
      </w:r>
      <w:r w:rsidRPr="001E0A6A">
        <w:rPr>
          <w:rFonts w:ascii="Times New Roman" w:hAnsi="Times New Roman"/>
          <w:b/>
          <w:bCs/>
          <w:color w:val="333333"/>
          <w:sz w:val="28"/>
          <w:szCs w:val="28"/>
          <w:vertAlign w:val="superscript"/>
          <w:lang w:val="en-GB" w:eastAsia="en-GB"/>
        </w:rPr>
        <w:t>th</w:t>
      </w:r>
      <w:r w:rsidRPr="001E0A6A">
        <w:rPr>
          <w:rFonts w:ascii="Times New Roman" w:hAnsi="Times New Roman"/>
          <w:b/>
          <w:bCs/>
          <w:color w:val="333333"/>
          <w:sz w:val="28"/>
          <w:szCs w:val="28"/>
          <w:lang w:val="en-GB" w:eastAsia="en-GB"/>
        </w:rPr>
        <w:t> Human Rights Council 11</w:t>
      </w:r>
      <w:r w:rsidRPr="001E0A6A">
        <w:rPr>
          <w:rFonts w:ascii="Times New Roman" w:hAnsi="Times New Roman"/>
          <w:b/>
          <w:bCs/>
          <w:color w:val="333333"/>
          <w:sz w:val="28"/>
          <w:szCs w:val="28"/>
          <w:vertAlign w:val="superscript"/>
          <w:lang w:val="en-GB" w:eastAsia="en-GB"/>
        </w:rPr>
        <w:t>th</w:t>
      </w:r>
      <w:r w:rsidRPr="001E0A6A">
        <w:rPr>
          <w:rFonts w:ascii="Times New Roman" w:hAnsi="Times New Roman"/>
          <w:b/>
          <w:bCs/>
          <w:color w:val="333333"/>
          <w:sz w:val="28"/>
          <w:szCs w:val="28"/>
          <w:lang w:val="en-GB" w:eastAsia="en-GB"/>
        </w:rPr>
        <w:t xml:space="preserve"> September – 13</w:t>
      </w:r>
      <w:r w:rsidRPr="001E0A6A">
        <w:rPr>
          <w:rFonts w:ascii="Times New Roman" w:hAnsi="Times New Roman"/>
          <w:b/>
          <w:bCs/>
          <w:color w:val="333333"/>
          <w:sz w:val="28"/>
          <w:szCs w:val="28"/>
          <w:vertAlign w:val="superscript"/>
          <w:lang w:val="en-GB" w:eastAsia="en-GB"/>
        </w:rPr>
        <w:t>th</w:t>
      </w:r>
      <w:r w:rsidRPr="001E0A6A">
        <w:rPr>
          <w:rFonts w:ascii="Times New Roman" w:hAnsi="Times New Roman"/>
          <w:b/>
          <w:bCs/>
          <w:color w:val="333333"/>
          <w:sz w:val="28"/>
          <w:szCs w:val="28"/>
          <w:lang w:val="en-GB" w:eastAsia="en-GB"/>
        </w:rPr>
        <w:t xml:space="preserve"> October 2023</w:t>
      </w:r>
    </w:p>
    <w:p w14:paraId="68399C2D" w14:textId="1281125F" w:rsidR="00265007" w:rsidRPr="001E0A6A" w:rsidRDefault="001E0A6A" w:rsidP="001E0A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0A6A">
        <w:rPr>
          <w:rFonts w:ascii="Times New Roman" w:hAnsi="Times New Roman"/>
          <w:b/>
          <w:bCs/>
          <w:sz w:val="28"/>
          <w:szCs w:val="28"/>
        </w:rPr>
        <w:t>Item 9: Enhanced interactive dialogue with the High Commissioner and the International Independent Expert Mechanism to Advance Racial Justice and Equality in Law Enforcement</w:t>
      </w:r>
    </w:p>
    <w:p w14:paraId="05294637" w14:textId="77777777" w:rsidR="008A0A4D" w:rsidRDefault="008A0A4D" w:rsidP="00F522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F85" w14:textId="4DE75032" w:rsidR="001E0A6A" w:rsidRPr="001E0A6A" w:rsidRDefault="001E0A6A" w:rsidP="00F52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6A">
        <w:rPr>
          <w:rFonts w:ascii="Times New Roman" w:hAnsi="Times New Roman"/>
          <w:sz w:val="24"/>
          <w:szCs w:val="24"/>
        </w:rPr>
        <w:t>We find many constructive comments and workable solutions in Reports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A6A">
        <w:rPr>
          <w:rFonts w:ascii="Times New Roman" w:hAnsi="Times New Roman"/>
          <w:sz w:val="24"/>
          <w:szCs w:val="24"/>
        </w:rPr>
        <w:t xml:space="preserve">A/HRC/54/66 and A/HRC/54/69. In report 66, </w:t>
      </w:r>
      <w:proofErr w:type="gramStart"/>
      <w:r w:rsidRPr="001E0A6A"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A6A">
        <w:rPr>
          <w:rFonts w:ascii="Times New Roman" w:hAnsi="Times New Roman"/>
          <w:sz w:val="24"/>
          <w:szCs w:val="24"/>
        </w:rPr>
        <w:t>D</w:t>
      </w:r>
      <w:proofErr w:type="gramEnd"/>
      <w:r w:rsidRPr="001E0A6A">
        <w:rPr>
          <w:rFonts w:ascii="Times New Roman" w:hAnsi="Times New Roman"/>
          <w:sz w:val="24"/>
          <w:szCs w:val="24"/>
        </w:rPr>
        <w:t xml:space="preserve"> 13 highlights the lack of spaces and structures for people of African Descent to participate meaningfully in consultations for influencing policies. Para 14 notes that views are often discredited and dismissed.</w:t>
      </w:r>
    </w:p>
    <w:p w14:paraId="06FC8B12" w14:textId="71470DBF" w:rsidR="001E0A6A" w:rsidRPr="001E0A6A" w:rsidRDefault="001E0A6A" w:rsidP="00F52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6A">
        <w:rPr>
          <w:rFonts w:ascii="Times New Roman" w:hAnsi="Times New Roman"/>
          <w:sz w:val="24"/>
          <w:szCs w:val="24"/>
        </w:rPr>
        <w:t>We support Para 23 suggestion for the need to dismantling systemic racism. The conclusion in Para 65 is disheartening that Milestones come and go in the DDPA.</w:t>
      </w:r>
    </w:p>
    <w:p w14:paraId="5A1C79DE" w14:textId="05CF0031" w:rsidR="001E0A6A" w:rsidRPr="001E0A6A" w:rsidRDefault="001E0A6A" w:rsidP="00F52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6A">
        <w:rPr>
          <w:rFonts w:ascii="Times New Roman" w:hAnsi="Times New Roman"/>
          <w:sz w:val="24"/>
          <w:szCs w:val="24"/>
        </w:rPr>
        <w:t>In report 69 we concur with C 21 to take Systemic approach to addressing systemic racism and agree that the bad apple theory is a ruse.</w:t>
      </w:r>
    </w:p>
    <w:p w14:paraId="6403C60A" w14:textId="1BDFF9D4" w:rsidR="001E0A6A" w:rsidRPr="001E0A6A" w:rsidRDefault="001E0A6A" w:rsidP="001E0A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6A">
        <w:rPr>
          <w:rFonts w:ascii="Times New Roman" w:hAnsi="Times New Roman"/>
          <w:sz w:val="24"/>
          <w:szCs w:val="24"/>
        </w:rPr>
        <w:t>We feel our approach is echoed in the concluding para that the most critical and effective drive for change will come through a change of unwritten tacit rules governing the culture of policing and not simply sound legal regimes.</w:t>
      </w:r>
    </w:p>
    <w:p w14:paraId="1EF9CD3B" w14:textId="3DFC7916" w:rsidR="001E0A6A" w:rsidRPr="001E0A6A" w:rsidRDefault="001E0A6A" w:rsidP="001E0A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6A">
        <w:rPr>
          <w:rFonts w:ascii="Times New Roman" w:hAnsi="Times New Roman"/>
          <w:sz w:val="24"/>
          <w:szCs w:val="24"/>
        </w:rPr>
        <w:t>This is the thinking behind our proposal for a UN Declaration on Diversity. Such a Declaration will encourage States to adopt policies in all sectors of public life to promote a culture change, make people comfortable with diversity and influence ending long held prejudices.</w:t>
      </w:r>
    </w:p>
    <w:p w14:paraId="7043021C" w14:textId="77777777" w:rsidR="001E0A6A" w:rsidRPr="001E0A6A" w:rsidRDefault="001E0A6A" w:rsidP="001E0A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6A">
        <w:rPr>
          <w:rFonts w:ascii="Times New Roman" w:hAnsi="Times New Roman"/>
          <w:sz w:val="24"/>
          <w:szCs w:val="24"/>
        </w:rPr>
        <w:t>Positive actions by States can go a long way to reversing racism, as has been noted in both reports.</w:t>
      </w:r>
    </w:p>
    <w:p w14:paraId="5129FE1D" w14:textId="19BE228D" w:rsidR="008A0A4D" w:rsidRPr="00F522BE" w:rsidRDefault="001E0A6A" w:rsidP="00F522B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6A">
        <w:rPr>
          <w:rFonts w:ascii="Times New Roman" w:hAnsi="Times New Roman"/>
          <w:sz w:val="24"/>
          <w:szCs w:val="24"/>
        </w:rPr>
        <w:t>We hope a UN Declaration on Diversity and a UN Day of Diversity will compliment and add a new dimension to the Durban Declaration and Plan of Action</w:t>
      </w:r>
    </w:p>
    <w:sectPr w:rsidR="008A0A4D" w:rsidRPr="00F522BE" w:rsidSect="001E0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D442" w14:textId="77777777" w:rsidR="009C5149" w:rsidRDefault="009C5149" w:rsidP="004E4FB5">
      <w:pPr>
        <w:spacing w:after="0" w:line="240" w:lineRule="auto"/>
      </w:pPr>
      <w:r>
        <w:separator/>
      </w:r>
    </w:p>
  </w:endnote>
  <w:endnote w:type="continuationSeparator" w:id="0">
    <w:p w14:paraId="77B3F4F5" w14:textId="77777777" w:rsidR="009C5149" w:rsidRDefault="009C5149" w:rsidP="004E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0117" w14:textId="77777777" w:rsidR="00F61FA4" w:rsidRDefault="00F61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FE76" w14:textId="77777777" w:rsidR="004E4FB5" w:rsidRDefault="008A0A4D" w:rsidP="00F61FA4">
    <w:pPr>
      <w:pStyle w:val="Footer"/>
      <w:tabs>
        <w:tab w:val="clear" w:pos="4513"/>
        <w:tab w:val="clear" w:pos="9026"/>
        <w:tab w:val="left" w:pos="1715"/>
      </w:tabs>
      <w:jc w:val="center"/>
    </w:pPr>
    <w:r w:rsidRPr="008A0A4D">
      <w:rPr>
        <w:noProof/>
      </w:rPr>
      <w:drawing>
        <wp:inline distT="0" distB="0" distL="0" distR="0" wp14:anchorId="7C8D752F" wp14:editId="59D57E0A">
          <wp:extent cx="6249951" cy="1220012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3297" cy="124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D762" w14:textId="77777777" w:rsidR="00F61FA4" w:rsidRDefault="00F6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177B" w14:textId="77777777" w:rsidR="009C5149" w:rsidRDefault="009C5149" w:rsidP="004E4FB5">
      <w:pPr>
        <w:spacing w:after="0" w:line="240" w:lineRule="auto"/>
      </w:pPr>
      <w:r>
        <w:separator/>
      </w:r>
    </w:p>
  </w:footnote>
  <w:footnote w:type="continuationSeparator" w:id="0">
    <w:p w14:paraId="1CE0777A" w14:textId="77777777" w:rsidR="009C5149" w:rsidRDefault="009C5149" w:rsidP="004E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29F9" w14:textId="77777777" w:rsidR="00F61FA4" w:rsidRDefault="00F61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E17D" w14:textId="77777777" w:rsidR="008A0A4D" w:rsidRDefault="008A0A4D" w:rsidP="00F61FA4">
    <w:pPr>
      <w:pStyle w:val="Header"/>
      <w:jc w:val="center"/>
    </w:pPr>
    <w:r w:rsidRPr="008A0A4D">
      <w:rPr>
        <w:noProof/>
      </w:rPr>
      <w:drawing>
        <wp:inline distT="0" distB="0" distL="0" distR="0" wp14:anchorId="7A85B83F" wp14:editId="76FA54A0">
          <wp:extent cx="5527345" cy="1069067"/>
          <wp:effectExtent l="0" t="0" r="0" b="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3914" cy="108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AC86" w14:textId="77777777" w:rsidR="00F61FA4" w:rsidRDefault="00F61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6A"/>
    <w:rsid w:val="000B0663"/>
    <w:rsid w:val="00197F90"/>
    <w:rsid w:val="001E0A6A"/>
    <w:rsid w:val="00265007"/>
    <w:rsid w:val="0029504C"/>
    <w:rsid w:val="004E4FB5"/>
    <w:rsid w:val="006976EC"/>
    <w:rsid w:val="008274BA"/>
    <w:rsid w:val="008A0A4D"/>
    <w:rsid w:val="009B1A98"/>
    <w:rsid w:val="009C5149"/>
    <w:rsid w:val="00B86440"/>
    <w:rsid w:val="00EA283B"/>
    <w:rsid w:val="00F522BE"/>
    <w:rsid w:val="00F61FA4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AC96444"/>
  <w14:defaultImageDpi w14:val="0"/>
  <w15:docId w15:val="{7B5D39AA-66A3-544F-A806-9CE89132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B5"/>
  </w:style>
  <w:style w:type="paragraph" w:styleId="Footer">
    <w:name w:val="footer"/>
    <w:basedOn w:val="Normal"/>
    <w:link w:val="FooterChar"/>
    <w:uiPriority w:val="99"/>
    <w:unhideWhenUsed/>
    <w:rsid w:val="004E4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orenci/Library/Group%20Containers/UBF8T346G9.Office/User%20Content.localized/Templates.localized/SHRG%20Letterhead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F01B1-F3C1-C242-BF79-121E664B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SHRG Letterhead 2022.dotx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Lorenci de Francisco</dc:creator>
  <cp:keywords/>
  <dc:description/>
  <cp:lastModifiedBy>Ivan Lorenci De Francisco</cp:lastModifiedBy>
  <cp:revision>2</cp:revision>
  <dcterms:created xsi:type="dcterms:W3CDTF">2023-10-03T12:24:00Z</dcterms:created>
  <dcterms:modified xsi:type="dcterms:W3CDTF">2023-10-09T09:16:00Z</dcterms:modified>
</cp:coreProperties>
</file>